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86" w:rsidRPr="00270518" w:rsidRDefault="006D5C86" w:rsidP="006D5C86">
      <w:pPr>
        <w:ind w:firstLine="708"/>
        <w:jc w:val="center"/>
        <w:rPr>
          <w:b/>
          <w:sz w:val="32"/>
          <w:szCs w:val="32"/>
        </w:rPr>
      </w:pPr>
      <w:r w:rsidRPr="00270518">
        <w:rPr>
          <w:b/>
          <w:sz w:val="32"/>
          <w:szCs w:val="32"/>
        </w:rPr>
        <w:t>Вниманию застрахованных лиц, формирующих</w:t>
      </w:r>
    </w:p>
    <w:p w:rsidR="006D5C86" w:rsidRPr="00270518" w:rsidRDefault="006D5C86" w:rsidP="006D5C86">
      <w:pPr>
        <w:ind w:firstLine="708"/>
        <w:jc w:val="center"/>
        <w:rPr>
          <w:b/>
          <w:sz w:val="32"/>
          <w:szCs w:val="32"/>
        </w:rPr>
      </w:pPr>
      <w:r w:rsidRPr="00270518">
        <w:rPr>
          <w:b/>
          <w:sz w:val="32"/>
          <w:szCs w:val="32"/>
        </w:rPr>
        <w:t>свои накопления в управляющих компаниях</w:t>
      </w:r>
    </w:p>
    <w:p w:rsidR="006D5C86" w:rsidRPr="00270518" w:rsidRDefault="006D5C86" w:rsidP="006D5C86">
      <w:pPr>
        <w:ind w:firstLine="708"/>
        <w:jc w:val="both"/>
        <w:rPr>
          <w:sz w:val="32"/>
          <w:szCs w:val="32"/>
        </w:rPr>
      </w:pPr>
    </w:p>
    <w:p w:rsidR="000F7192" w:rsidRPr="00270518" w:rsidRDefault="000F7192" w:rsidP="00270518">
      <w:pPr>
        <w:spacing w:line="360" w:lineRule="auto"/>
        <w:ind w:firstLine="709"/>
        <w:jc w:val="both"/>
        <w:rPr>
          <w:sz w:val="32"/>
          <w:szCs w:val="32"/>
        </w:rPr>
      </w:pPr>
      <w:r w:rsidRPr="00270518">
        <w:rPr>
          <w:sz w:val="32"/>
          <w:szCs w:val="32"/>
        </w:rPr>
        <w:t>Пенсионный фонд Российской Федерации завершил работу по продлению на пять лет договоров доверительного управления средствами пенсионных накоплений с управляющими компаниями, срок действия по которым истекает в октябре 2018 года.</w:t>
      </w:r>
    </w:p>
    <w:p w:rsidR="006D5C86" w:rsidRPr="00270518" w:rsidRDefault="00270518" w:rsidP="00270518">
      <w:pPr>
        <w:spacing w:line="360" w:lineRule="auto"/>
        <w:ind w:firstLine="709"/>
        <w:jc w:val="both"/>
        <w:rPr>
          <w:sz w:val="32"/>
          <w:szCs w:val="32"/>
        </w:rPr>
      </w:pPr>
      <w:r w:rsidRPr="00270518">
        <w:rPr>
          <w:sz w:val="32"/>
          <w:szCs w:val="32"/>
        </w:rPr>
        <w:t>Прекращены</w:t>
      </w:r>
      <w:r w:rsidR="006D5C86" w:rsidRPr="00270518">
        <w:rPr>
          <w:sz w:val="32"/>
          <w:szCs w:val="32"/>
        </w:rPr>
        <w:t xml:space="preserve"> договора с одиннадцатью управляющими компаниями:</w:t>
      </w:r>
    </w:p>
    <w:p w:rsidR="00270518" w:rsidRDefault="00270518" w:rsidP="006D5C86">
      <w:pPr>
        <w:ind w:firstLine="708"/>
        <w:jc w:val="both"/>
        <w:rPr>
          <w:sz w:val="28"/>
          <w:szCs w:val="28"/>
        </w:rPr>
      </w:pPr>
    </w:p>
    <w:tbl>
      <w:tblPr>
        <w:tblStyle w:val="a3"/>
        <w:tblW w:w="0" w:type="auto"/>
        <w:tblLook w:val="04A0"/>
      </w:tblPr>
      <w:tblGrid>
        <w:gridCol w:w="3369"/>
        <w:gridCol w:w="7052"/>
      </w:tblGrid>
      <w:tr w:rsidR="00270518" w:rsidTr="00270518">
        <w:tc>
          <w:tcPr>
            <w:tcW w:w="3369" w:type="dxa"/>
            <w:vMerge w:val="restart"/>
          </w:tcPr>
          <w:p w:rsidR="00270518" w:rsidRDefault="00270518" w:rsidP="00270518">
            <w:pPr>
              <w:rPr>
                <w:sz w:val="28"/>
                <w:szCs w:val="28"/>
              </w:rPr>
            </w:pPr>
          </w:p>
          <w:p w:rsidR="00270518" w:rsidRDefault="00270518" w:rsidP="00270518">
            <w:pPr>
              <w:rPr>
                <w:sz w:val="28"/>
                <w:szCs w:val="28"/>
              </w:rPr>
            </w:pPr>
            <w:r>
              <w:rPr>
                <w:sz w:val="28"/>
                <w:szCs w:val="28"/>
              </w:rPr>
              <w:t>Отказались от продления договоров</w:t>
            </w:r>
          </w:p>
        </w:tc>
        <w:tc>
          <w:tcPr>
            <w:tcW w:w="7052" w:type="dxa"/>
          </w:tcPr>
          <w:p w:rsidR="00270518" w:rsidRDefault="00270518" w:rsidP="006D5C86">
            <w:pPr>
              <w:jc w:val="both"/>
              <w:rPr>
                <w:sz w:val="28"/>
                <w:szCs w:val="28"/>
              </w:rPr>
            </w:pPr>
            <w:r>
              <w:rPr>
                <w:sz w:val="28"/>
                <w:szCs w:val="28"/>
              </w:rPr>
              <w:t xml:space="preserve">АО </w:t>
            </w:r>
            <w:r w:rsidRPr="001824F3">
              <w:rPr>
                <w:sz w:val="28"/>
                <w:szCs w:val="28"/>
              </w:rPr>
              <w:t>Управляющая компания «Аналитический центр»</w:t>
            </w:r>
          </w:p>
        </w:tc>
      </w:tr>
      <w:tr w:rsidR="00270518" w:rsidTr="00270518">
        <w:tc>
          <w:tcPr>
            <w:tcW w:w="3369" w:type="dxa"/>
            <w:vMerge/>
          </w:tcPr>
          <w:p w:rsidR="00270518" w:rsidRDefault="00270518" w:rsidP="006D5C86">
            <w:pPr>
              <w:jc w:val="both"/>
              <w:rPr>
                <w:sz w:val="28"/>
                <w:szCs w:val="28"/>
              </w:rPr>
            </w:pPr>
          </w:p>
        </w:tc>
        <w:tc>
          <w:tcPr>
            <w:tcW w:w="7052" w:type="dxa"/>
          </w:tcPr>
          <w:p w:rsidR="00270518" w:rsidRDefault="00270518" w:rsidP="006D5C86">
            <w:pPr>
              <w:jc w:val="both"/>
              <w:rPr>
                <w:sz w:val="28"/>
                <w:szCs w:val="28"/>
              </w:rPr>
            </w:pPr>
            <w:r>
              <w:rPr>
                <w:sz w:val="28"/>
                <w:szCs w:val="28"/>
              </w:rPr>
              <w:t xml:space="preserve">ООО </w:t>
            </w:r>
            <w:r w:rsidRPr="001824F3">
              <w:rPr>
                <w:sz w:val="28"/>
                <w:szCs w:val="28"/>
              </w:rPr>
              <w:t>Управляющая компания «БФА»</w:t>
            </w:r>
          </w:p>
        </w:tc>
      </w:tr>
      <w:tr w:rsidR="00270518" w:rsidTr="00270518">
        <w:tc>
          <w:tcPr>
            <w:tcW w:w="3369" w:type="dxa"/>
            <w:vMerge/>
          </w:tcPr>
          <w:p w:rsidR="00270518" w:rsidRDefault="00270518" w:rsidP="006D5C86">
            <w:pPr>
              <w:jc w:val="both"/>
              <w:rPr>
                <w:sz w:val="28"/>
                <w:szCs w:val="28"/>
              </w:rPr>
            </w:pPr>
          </w:p>
        </w:tc>
        <w:tc>
          <w:tcPr>
            <w:tcW w:w="7052" w:type="dxa"/>
          </w:tcPr>
          <w:p w:rsidR="00270518" w:rsidRDefault="00270518" w:rsidP="006D5C86">
            <w:pPr>
              <w:jc w:val="both"/>
              <w:rPr>
                <w:sz w:val="28"/>
                <w:szCs w:val="28"/>
              </w:rPr>
            </w:pPr>
            <w:r>
              <w:rPr>
                <w:sz w:val="28"/>
                <w:szCs w:val="28"/>
              </w:rPr>
              <w:t xml:space="preserve">АО </w:t>
            </w:r>
            <w:r w:rsidRPr="001824F3">
              <w:rPr>
                <w:sz w:val="28"/>
                <w:szCs w:val="28"/>
              </w:rPr>
              <w:t>«Объединенная Финансовая Группа ИНВЕСТ»</w:t>
            </w:r>
          </w:p>
        </w:tc>
      </w:tr>
      <w:tr w:rsidR="00270518" w:rsidTr="00270518">
        <w:tc>
          <w:tcPr>
            <w:tcW w:w="3369" w:type="dxa"/>
            <w:vMerge/>
          </w:tcPr>
          <w:p w:rsidR="00270518" w:rsidRDefault="00270518" w:rsidP="006D5C86">
            <w:pPr>
              <w:jc w:val="both"/>
              <w:rPr>
                <w:sz w:val="28"/>
                <w:szCs w:val="28"/>
              </w:rPr>
            </w:pPr>
          </w:p>
        </w:tc>
        <w:tc>
          <w:tcPr>
            <w:tcW w:w="7052" w:type="dxa"/>
          </w:tcPr>
          <w:p w:rsidR="00270518" w:rsidRDefault="00270518" w:rsidP="006D5C86">
            <w:pPr>
              <w:jc w:val="both"/>
              <w:rPr>
                <w:sz w:val="28"/>
                <w:szCs w:val="28"/>
              </w:rPr>
            </w:pPr>
            <w:r>
              <w:rPr>
                <w:sz w:val="28"/>
                <w:szCs w:val="28"/>
              </w:rPr>
              <w:t xml:space="preserve">ООО </w:t>
            </w:r>
            <w:r w:rsidRPr="001824F3">
              <w:rPr>
                <w:sz w:val="28"/>
                <w:szCs w:val="28"/>
              </w:rPr>
              <w:t>«Управляющая компания МЕТРОПОЛЬ»</w:t>
            </w:r>
          </w:p>
        </w:tc>
      </w:tr>
      <w:tr w:rsidR="00270518" w:rsidTr="00270518">
        <w:tc>
          <w:tcPr>
            <w:tcW w:w="3369" w:type="dxa"/>
            <w:vMerge/>
          </w:tcPr>
          <w:p w:rsidR="00270518" w:rsidRDefault="00270518" w:rsidP="006D5C86">
            <w:pPr>
              <w:jc w:val="both"/>
              <w:rPr>
                <w:sz w:val="28"/>
                <w:szCs w:val="28"/>
              </w:rPr>
            </w:pPr>
          </w:p>
        </w:tc>
        <w:tc>
          <w:tcPr>
            <w:tcW w:w="7052" w:type="dxa"/>
          </w:tcPr>
          <w:p w:rsidR="00270518" w:rsidRDefault="00270518" w:rsidP="006D5C86">
            <w:pPr>
              <w:jc w:val="both"/>
              <w:rPr>
                <w:sz w:val="28"/>
                <w:szCs w:val="28"/>
              </w:rPr>
            </w:pPr>
            <w:r>
              <w:rPr>
                <w:sz w:val="28"/>
                <w:szCs w:val="28"/>
              </w:rPr>
              <w:t xml:space="preserve">ЗАО </w:t>
            </w:r>
            <w:r w:rsidRPr="001824F3">
              <w:rPr>
                <w:sz w:val="28"/>
                <w:szCs w:val="28"/>
              </w:rPr>
              <w:t>«Управляющая компания Мономах»</w:t>
            </w:r>
          </w:p>
        </w:tc>
      </w:tr>
      <w:tr w:rsidR="00270518" w:rsidTr="00270518">
        <w:tc>
          <w:tcPr>
            <w:tcW w:w="3369" w:type="dxa"/>
            <w:vMerge w:val="restart"/>
          </w:tcPr>
          <w:p w:rsidR="00270518" w:rsidRDefault="00270518" w:rsidP="00270518">
            <w:pPr>
              <w:rPr>
                <w:sz w:val="28"/>
                <w:szCs w:val="28"/>
              </w:rPr>
            </w:pPr>
            <w:r>
              <w:rPr>
                <w:sz w:val="28"/>
                <w:szCs w:val="28"/>
              </w:rPr>
              <w:t>Н</w:t>
            </w:r>
            <w:r w:rsidRPr="001824F3">
              <w:rPr>
                <w:sz w:val="28"/>
                <w:szCs w:val="28"/>
              </w:rPr>
              <w:t>е соответствуют требованиям</w:t>
            </w:r>
            <w:r w:rsidRPr="001824F3">
              <w:rPr>
                <w:b/>
                <w:bCs/>
                <w:sz w:val="28"/>
                <w:szCs w:val="28"/>
              </w:rPr>
              <w:t xml:space="preserve">, </w:t>
            </w:r>
            <w:r w:rsidRPr="001824F3">
              <w:rPr>
                <w:sz w:val="28"/>
                <w:szCs w:val="28"/>
              </w:rPr>
              <w:t xml:space="preserve">предъявляемым </w:t>
            </w:r>
            <w:r>
              <w:rPr>
                <w:sz w:val="28"/>
                <w:szCs w:val="28"/>
              </w:rPr>
              <w:t>для</w:t>
            </w:r>
            <w:r w:rsidRPr="001824F3">
              <w:rPr>
                <w:sz w:val="28"/>
                <w:szCs w:val="28"/>
              </w:rPr>
              <w:t xml:space="preserve"> продлени</w:t>
            </w:r>
            <w:r>
              <w:rPr>
                <w:sz w:val="28"/>
                <w:szCs w:val="28"/>
              </w:rPr>
              <w:t>я</w:t>
            </w:r>
            <w:r w:rsidRPr="001824F3">
              <w:rPr>
                <w:sz w:val="28"/>
                <w:szCs w:val="28"/>
              </w:rPr>
              <w:t xml:space="preserve"> договоров доверительного управления средствами пенсионных накоплений</w:t>
            </w:r>
            <w:r>
              <w:rPr>
                <w:sz w:val="28"/>
                <w:szCs w:val="28"/>
              </w:rPr>
              <w:t>.</w:t>
            </w:r>
          </w:p>
        </w:tc>
        <w:tc>
          <w:tcPr>
            <w:tcW w:w="7052" w:type="dxa"/>
          </w:tcPr>
          <w:p w:rsidR="00270518" w:rsidRDefault="00270518" w:rsidP="006D5C86">
            <w:pPr>
              <w:jc w:val="both"/>
              <w:rPr>
                <w:sz w:val="28"/>
                <w:szCs w:val="28"/>
              </w:rPr>
            </w:pPr>
            <w:r>
              <w:rPr>
                <w:sz w:val="28"/>
                <w:szCs w:val="28"/>
              </w:rPr>
              <w:t xml:space="preserve">ООО </w:t>
            </w:r>
            <w:r w:rsidRPr="001824F3">
              <w:rPr>
                <w:sz w:val="28"/>
                <w:szCs w:val="28"/>
              </w:rPr>
              <w:t>Управляющая компания «АК БАРС КАПИТАЛ»</w:t>
            </w:r>
          </w:p>
        </w:tc>
      </w:tr>
      <w:tr w:rsidR="00270518" w:rsidTr="00270518">
        <w:tc>
          <w:tcPr>
            <w:tcW w:w="3369" w:type="dxa"/>
            <w:vMerge/>
          </w:tcPr>
          <w:p w:rsidR="00270518" w:rsidRDefault="00270518" w:rsidP="006D5C86">
            <w:pPr>
              <w:jc w:val="both"/>
              <w:rPr>
                <w:sz w:val="28"/>
                <w:szCs w:val="28"/>
              </w:rPr>
            </w:pPr>
          </w:p>
        </w:tc>
        <w:tc>
          <w:tcPr>
            <w:tcW w:w="7052" w:type="dxa"/>
          </w:tcPr>
          <w:p w:rsidR="00270518" w:rsidRDefault="00270518" w:rsidP="00270518">
            <w:pPr>
              <w:jc w:val="both"/>
              <w:rPr>
                <w:sz w:val="28"/>
                <w:szCs w:val="28"/>
              </w:rPr>
            </w:pPr>
            <w:r>
              <w:rPr>
                <w:sz w:val="28"/>
                <w:szCs w:val="28"/>
              </w:rPr>
              <w:t xml:space="preserve">ООО </w:t>
            </w:r>
            <w:r w:rsidRPr="001824F3">
              <w:rPr>
                <w:sz w:val="28"/>
                <w:szCs w:val="28"/>
              </w:rPr>
              <w:t>«П</w:t>
            </w:r>
            <w:r>
              <w:rPr>
                <w:sz w:val="28"/>
                <w:szCs w:val="28"/>
              </w:rPr>
              <w:t>енсионнаясберегательная компания</w:t>
            </w:r>
            <w:r w:rsidRPr="001824F3">
              <w:rPr>
                <w:sz w:val="28"/>
                <w:szCs w:val="28"/>
              </w:rPr>
              <w:t>»</w:t>
            </w:r>
          </w:p>
        </w:tc>
      </w:tr>
      <w:tr w:rsidR="00270518" w:rsidTr="00270518">
        <w:tc>
          <w:tcPr>
            <w:tcW w:w="3369" w:type="dxa"/>
            <w:vMerge/>
          </w:tcPr>
          <w:p w:rsidR="00270518" w:rsidRDefault="00270518" w:rsidP="006D5C86">
            <w:pPr>
              <w:jc w:val="both"/>
              <w:rPr>
                <w:sz w:val="28"/>
                <w:szCs w:val="28"/>
              </w:rPr>
            </w:pPr>
          </w:p>
        </w:tc>
        <w:tc>
          <w:tcPr>
            <w:tcW w:w="7052" w:type="dxa"/>
          </w:tcPr>
          <w:p w:rsidR="00270518" w:rsidRDefault="00270518" w:rsidP="006D5C86">
            <w:pPr>
              <w:jc w:val="both"/>
              <w:rPr>
                <w:sz w:val="28"/>
                <w:szCs w:val="28"/>
              </w:rPr>
            </w:pPr>
            <w:r>
              <w:rPr>
                <w:sz w:val="28"/>
                <w:szCs w:val="28"/>
              </w:rPr>
              <w:t xml:space="preserve">АО </w:t>
            </w:r>
            <w:r w:rsidRPr="001824F3">
              <w:rPr>
                <w:sz w:val="28"/>
                <w:szCs w:val="28"/>
              </w:rPr>
              <w:t>Управляющая Компания ТРИНФИКО»</w:t>
            </w:r>
          </w:p>
        </w:tc>
      </w:tr>
      <w:tr w:rsidR="00270518" w:rsidTr="00270518">
        <w:tc>
          <w:tcPr>
            <w:tcW w:w="3369" w:type="dxa"/>
            <w:vMerge/>
          </w:tcPr>
          <w:p w:rsidR="00270518" w:rsidRDefault="00270518" w:rsidP="006D5C86">
            <w:pPr>
              <w:jc w:val="both"/>
              <w:rPr>
                <w:sz w:val="28"/>
                <w:szCs w:val="28"/>
              </w:rPr>
            </w:pPr>
          </w:p>
        </w:tc>
        <w:tc>
          <w:tcPr>
            <w:tcW w:w="7052" w:type="dxa"/>
          </w:tcPr>
          <w:p w:rsidR="00270518" w:rsidRDefault="00270518" w:rsidP="006D5C86">
            <w:pPr>
              <w:jc w:val="both"/>
              <w:rPr>
                <w:sz w:val="28"/>
                <w:szCs w:val="28"/>
              </w:rPr>
            </w:pPr>
            <w:r w:rsidRPr="001824F3">
              <w:rPr>
                <w:sz w:val="28"/>
                <w:szCs w:val="28"/>
              </w:rPr>
              <w:t xml:space="preserve">ТКБ </w:t>
            </w:r>
            <w:proofErr w:type="spellStart"/>
            <w:r w:rsidRPr="001824F3">
              <w:rPr>
                <w:sz w:val="28"/>
                <w:szCs w:val="28"/>
              </w:rPr>
              <w:t>ИнвестментПартнерс</w:t>
            </w:r>
            <w:proofErr w:type="spellEnd"/>
            <w:r>
              <w:rPr>
                <w:sz w:val="28"/>
                <w:szCs w:val="28"/>
              </w:rPr>
              <w:t xml:space="preserve"> (АО)</w:t>
            </w:r>
          </w:p>
        </w:tc>
      </w:tr>
      <w:tr w:rsidR="00270518" w:rsidTr="00270518">
        <w:tc>
          <w:tcPr>
            <w:tcW w:w="3369" w:type="dxa"/>
            <w:vMerge/>
          </w:tcPr>
          <w:p w:rsidR="00270518" w:rsidRDefault="00270518" w:rsidP="006D5C86">
            <w:pPr>
              <w:jc w:val="both"/>
              <w:rPr>
                <w:sz w:val="28"/>
                <w:szCs w:val="28"/>
              </w:rPr>
            </w:pPr>
          </w:p>
        </w:tc>
        <w:tc>
          <w:tcPr>
            <w:tcW w:w="7052" w:type="dxa"/>
          </w:tcPr>
          <w:p w:rsidR="00270518" w:rsidRDefault="00270518" w:rsidP="006D5C86">
            <w:pPr>
              <w:jc w:val="both"/>
              <w:rPr>
                <w:sz w:val="28"/>
                <w:szCs w:val="28"/>
              </w:rPr>
            </w:pPr>
            <w:r>
              <w:rPr>
                <w:sz w:val="28"/>
                <w:szCs w:val="28"/>
              </w:rPr>
              <w:t xml:space="preserve">ООО </w:t>
            </w:r>
            <w:r w:rsidRPr="001824F3">
              <w:rPr>
                <w:sz w:val="28"/>
                <w:szCs w:val="28"/>
              </w:rPr>
              <w:t>У</w:t>
            </w:r>
            <w:r>
              <w:rPr>
                <w:sz w:val="28"/>
                <w:szCs w:val="28"/>
              </w:rPr>
              <w:t>правляющая компания«</w:t>
            </w:r>
            <w:r w:rsidRPr="001824F3">
              <w:rPr>
                <w:sz w:val="28"/>
                <w:szCs w:val="28"/>
              </w:rPr>
              <w:t>Управление инвестициями»</w:t>
            </w:r>
          </w:p>
        </w:tc>
      </w:tr>
      <w:tr w:rsidR="00270518" w:rsidTr="00270518">
        <w:tc>
          <w:tcPr>
            <w:tcW w:w="3369" w:type="dxa"/>
            <w:vMerge/>
          </w:tcPr>
          <w:p w:rsidR="00270518" w:rsidRDefault="00270518" w:rsidP="006D5C86">
            <w:pPr>
              <w:jc w:val="both"/>
              <w:rPr>
                <w:sz w:val="28"/>
                <w:szCs w:val="28"/>
              </w:rPr>
            </w:pPr>
          </w:p>
        </w:tc>
        <w:tc>
          <w:tcPr>
            <w:tcW w:w="7052" w:type="dxa"/>
          </w:tcPr>
          <w:p w:rsidR="00270518" w:rsidRDefault="00270518" w:rsidP="006D5C86">
            <w:pPr>
              <w:jc w:val="both"/>
              <w:rPr>
                <w:sz w:val="28"/>
                <w:szCs w:val="28"/>
              </w:rPr>
            </w:pPr>
            <w:r>
              <w:rPr>
                <w:sz w:val="28"/>
                <w:szCs w:val="28"/>
              </w:rPr>
              <w:t xml:space="preserve">ООО </w:t>
            </w:r>
            <w:r w:rsidRPr="001824F3">
              <w:rPr>
                <w:sz w:val="28"/>
                <w:szCs w:val="28"/>
              </w:rPr>
              <w:t>Управляющая компания «</w:t>
            </w:r>
            <w:proofErr w:type="spellStart"/>
            <w:r w:rsidRPr="001824F3">
              <w:rPr>
                <w:sz w:val="28"/>
                <w:szCs w:val="28"/>
              </w:rPr>
              <w:t>Финам</w:t>
            </w:r>
            <w:proofErr w:type="spellEnd"/>
            <w:r w:rsidRPr="001824F3">
              <w:rPr>
                <w:sz w:val="28"/>
                <w:szCs w:val="28"/>
              </w:rPr>
              <w:t xml:space="preserve"> Менеджмент»</w:t>
            </w:r>
          </w:p>
        </w:tc>
      </w:tr>
    </w:tbl>
    <w:p w:rsidR="00270518" w:rsidRDefault="00270518" w:rsidP="006D5C86">
      <w:pPr>
        <w:ind w:firstLine="708"/>
        <w:jc w:val="both"/>
        <w:rPr>
          <w:sz w:val="28"/>
          <w:szCs w:val="28"/>
        </w:rPr>
      </w:pPr>
    </w:p>
    <w:p w:rsidR="00270518" w:rsidRPr="00270518" w:rsidRDefault="00270518" w:rsidP="00270518">
      <w:pPr>
        <w:autoSpaceDE w:val="0"/>
        <w:autoSpaceDN w:val="0"/>
        <w:adjustRightInd w:val="0"/>
        <w:spacing w:line="360" w:lineRule="auto"/>
        <w:ind w:firstLine="539"/>
        <w:jc w:val="both"/>
        <w:rPr>
          <w:rFonts w:eastAsiaTheme="minorHAnsi"/>
          <w:color w:val="000000"/>
          <w:sz w:val="32"/>
          <w:szCs w:val="32"/>
          <w:lang w:eastAsia="en-US"/>
        </w:rPr>
      </w:pPr>
      <w:r w:rsidRPr="00270518">
        <w:rPr>
          <w:rFonts w:eastAsiaTheme="minorHAnsi"/>
          <w:color w:val="000000"/>
          <w:sz w:val="32"/>
          <w:szCs w:val="32"/>
          <w:lang w:eastAsia="en-US"/>
        </w:rPr>
        <w:t>В настоящее время Пенсионным фондом Российской Федерации проводятся работы по возврату средств пенсионных накоплений, которые инвестировались указанными управляющими компаниями, в Государственную корпорацию «Банк развития и внешнеэкономической деятельности (Внешэкономбанк)» (инвестиционный портфель – РАСШИРЕННЫЙ). Планируемый срок разнесения по индивидуальным лицевым счетам застрахованных лиц – декабрь 2018 года.</w:t>
      </w:r>
    </w:p>
    <w:p w:rsidR="005F17F4" w:rsidRDefault="006D5C86" w:rsidP="00270518">
      <w:pPr>
        <w:spacing w:line="360" w:lineRule="auto"/>
        <w:ind w:firstLine="708"/>
        <w:jc w:val="both"/>
      </w:pPr>
      <w:r w:rsidRPr="00270518">
        <w:rPr>
          <w:sz w:val="32"/>
          <w:szCs w:val="32"/>
        </w:rPr>
        <w:t>После передачи средств во Внешэкономбанк граждане вправе выбрать другую управляющую компанию или другого страховщика (негосударственный пенсионный фонд), подав соответствующее заявление. Перевод средств пенсионных накоплений между управляющими компаниями или инвестиционными портфелями без смены пенсионного фонда не влечет потерю инвестиционного дохода.</w:t>
      </w:r>
      <w:bookmarkStart w:id="0" w:name="_GoBack"/>
      <w:bookmarkEnd w:id="0"/>
    </w:p>
    <w:sectPr w:rsidR="005F17F4" w:rsidSect="00270518">
      <w:pgSz w:w="11906" w:h="16838"/>
      <w:pgMar w:top="567"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5C86"/>
    <w:rsid w:val="000F7192"/>
    <w:rsid w:val="00270518"/>
    <w:rsid w:val="005F17F4"/>
    <w:rsid w:val="006D5C86"/>
    <w:rsid w:val="00E4222E"/>
    <w:rsid w:val="00F806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C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05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C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05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262</Words>
  <Characters>1497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Карножицкая Наталья Михайловна</dc:creator>
  <cp:lastModifiedBy>EGISSO</cp:lastModifiedBy>
  <cp:revision>2</cp:revision>
  <dcterms:created xsi:type="dcterms:W3CDTF">2018-10-18T06:16:00Z</dcterms:created>
  <dcterms:modified xsi:type="dcterms:W3CDTF">2018-10-30T05:09:00Z</dcterms:modified>
</cp:coreProperties>
</file>